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E9" w:rsidRPr="00CA2463" w:rsidRDefault="0075323A" w:rsidP="00753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463">
        <w:rPr>
          <w:rFonts w:ascii="Times New Roman" w:hAnsi="Times New Roman" w:cs="Times New Roman"/>
          <w:b/>
          <w:sz w:val="28"/>
          <w:szCs w:val="28"/>
        </w:rPr>
        <w:t>Звітна інформація про виконання антикорупційної програми на 201</w:t>
      </w:r>
      <w:r w:rsidR="00C40BA7" w:rsidRPr="00CA2463">
        <w:rPr>
          <w:rFonts w:ascii="Times New Roman" w:hAnsi="Times New Roman" w:cs="Times New Roman"/>
          <w:b/>
          <w:sz w:val="28"/>
          <w:szCs w:val="28"/>
        </w:rPr>
        <w:t>8-2019 роки</w:t>
      </w:r>
      <w:r w:rsidRPr="00CA2463">
        <w:rPr>
          <w:rFonts w:ascii="Times New Roman" w:hAnsi="Times New Roman" w:cs="Times New Roman"/>
          <w:b/>
          <w:sz w:val="28"/>
          <w:szCs w:val="28"/>
        </w:rPr>
        <w:t xml:space="preserve"> та реалізації визначених у ній заходів</w:t>
      </w:r>
    </w:p>
    <w:p w:rsidR="0075323A" w:rsidRPr="00CA2463" w:rsidRDefault="0075323A" w:rsidP="007532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463">
        <w:rPr>
          <w:rFonts w:ascii="Times New Roman" w:hAnsi="Times New Roman" w:cs="Times New Roman"/>
          <w:b/>
          <w:sz w:val="28"/>
          <w:szCs w:val="28"/>
          <w:u w:val="single"/>
        </w:rPr>
        <w:t>Вінницьк</w:t>
      </w:r>
      <w:r w:rsidR="00755EDB" w:rsidRPr="00CA2463">
        <w:rPr>
          <w:rFonts w:ascii="Times New Roman" w:hAnsi="Times New Roman" w:cs="Times New Roman"/>
          <w:b/>
          <w:sz w:val="28"/>
          <w:szCs w:val="28"/>
          <w:u w:val="single"/>
        </w:rPr>
        <w:t>ої</w:t>
      </w:r>
      <w:r w:rsidRPr="00CA24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обласн</w:t>
      </w:r>
      <w:r w:rsidR="00755EDB" w:rsidRPr="00CA2463">
        <w:rPr>
          <w:rFonts w:ascii="Times New Roman" w:hAnsi="Times New Roman" w:cs="Times New Roman"/>
          <w:b/>
          <w:sz w:val="28"/>
          <w:szCs w:val="28"/>
          <w:u w:val="single"/>
        </w:rPr>
        <w:t>ої</w:t>
      </w:r>
      <w:r w:rsidRPr="00CA24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державн</w:t>
      </w:r>
      <w:r w:rsidR="00755EDB" w:rsidRPr="00CA2463">
        <w:rPr>
          <w:rFonts w:ascii="Times New Roman" w:hAnsi="Times New Roman" w:cs="Times New Roman"/>
          <w:b/>
          <w:sz w:val="28"/>
          <w:szCs w:val="28"/>
          <w:u w:val="single"/>
        </w:rPr>
        <w:t>ої</w:t>
      </w:r>
      <w:r w:rsidRPr="00CA24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4E0D" w:rsidRPr="00CA2463">
        <w:rPr>
          <w:rFonts w:ascii="Times New Roman" w:hAnsi="Times New Roman" w:cs="Times New Roman"/>
          <w:b/>
          <w:sz w:val="28"/>
          <w:szCs w:val="28"/>
          <w:u w:val="single"/>
        </w:rPr>
        <w:t>адміністраці</w:t>
      </w:r>
      <w:r w:rsidR="00755EDB" w:rsidRPr="00CA2463">
        <w:rPr>
          <w:rFonts w:ascii="Times New Roman" w:hAnsi="Times New Roman" w:cs="Times New Roman"/>
          <w:b/>
          <w:sz w:val="28"/>
          <w:szCs w:val="28"/>
          <w:u w:val="single"/>
        </w:rPr>
        <w:t>ї</w:t>
      </w:r>
    </w:p>
    <w:p w:rsidR="00C40BA7" w:rsidRPr="00CA2463" w:rsidRDefault="00C40BA7" w:rsidP="007532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463">
        <w:rPr>
          <w:rFonts w:ascii="Times New Roman" w:hAnsi="Times New Roman" w:cs="Times New Roman"/>
          <w:b/>
          <w:sz w:val="28"/>
          <w:szCs w:val="28"/>
          <w:u w:val="single"/>
        </w:rPr>
        <w:t>За 2019 року</w:t>
      </w:r>
    </w:p>
    <w:p w:rsidR="0075323A" w:rsidRPr="00CA2463" w:rsidRDefault="0075323A" w:rsidP="007532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787"/>
        <w:gridCol w:w="2651"/>
        <w:gridCol w:w="2970"/>
        <w:gridCol w:w="4154"/>
      </w:tblGrid>
      <w:tr w:rsidR="0022213B" w:rsidRPr="00CA2463" w:rsidTr="0022213B">
        <w:tc>
          <w:tcPr>
            <w:tcW w:w="498" w:type="dxa"/>
          </w:tcPr>
          <w:p w:rsidR="0075323A" w:rsidRPr="00CA2463" w:rsidRDefault="0075323A" w:rsidP="00753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5" w:type="dxa"/>
          </w:tcPr>
          <w:p w:rsidR="0075323A" w:rsidRPr="00CA2463" w:rsidRDefault="0075323A" w:rsidP="00753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заходу, зазначеного у антикорупційній програмі</w:t>
            </w:r>
          </w:p>
        </w:tc>
        <w:tc>
          <w:tcPr>
            <w:tcW w:w="2671" w:type="dxa"/>
          </w:tcPr>
          <w:p w:rsidR="0075323A" w:rsidRPr="00CA2463" w:rsidRDefault="0075323A" w:rsidP="00753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Строк виконання заходу</w:t>
            </w:r>
          </w:p>
        </w:tc>
        <w:tc>
          <w:tcPr>
            <w:tcW w:w="2971" w:type="dxa"/>
          </w:tcPr>
          <w:p w:rsidR="0075323A" w:rsidRPr="00CA2463" w:rsidRDefault="0075323A" w:rsidP="00753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4163" w:type="dxa"/>
          </w:tcPr>
          <w:p w:rsidR="0075323A" w:rsidRPr="00CA2463" w:rsidRDefault="0075323A" w:rsidP="00753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Стан виконання</w:t>
            </w:r>
          </w:p>
        </w:tc>
      </w:tr>
      <w:tr w:rsidR="0075323A" w:rsidRPr="00CA2463" w:rsidTr="0022213B">
        <w:tc>
          <w:tcPr>
            <w:tcW w:w="498" w:type="dxa"/>
          </w:tcPr>
          <w:p w:rsidR="0075323A" w:rsidRPr="00CA2463" w:rsidRDefault="0075323A" w:rsidP="00753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69C4"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5" w:type="dxa"/>
          </w:tcPr>
          <w:p w:rsidR="0075323A" w:rsidRPr="00657591" w:rsidRDefault="00C606C2" w:rsidP="00753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591"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Встановлення мінімального рекомендованого порогу при використані системи </w:t>
            </w:r>
            <w:r w:rsidRPr="006575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57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</w:t>
            </w:r>
            <w:r w:rsidRPr="006575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671" w:type="dxa"/>
          </w:tcPr>
          <w:p w:rsidR="0075323A" w:rsidRPr="00CA2463" w:rsidRDefault="00094E0D" w:rsidP="00C4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Грудень 201</w:t>
            </w:r>
            <w:r w:rsidR="00CA24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971" w:type="dxa"/>
          </w:tcPr>
          <w:p w:rsidR="0075323A" w:rsidRPr="00CA2463" w:rsidRDefault="00094E0D" w:rsidP="0075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Департамент міжнародного співробітництва та регіонального розвитку облдержадміністрації</w:t>
            </w:r>
          </w:p>
        </w:tc>
        <w:tc>
          <w:tcPr>
            <w:tcW w:w="4163" w:type="dxa"/>
          </w:tcPr>
          <w:p w:rsidR="00C77699" w:rsidRPr="00657591" w:rsidRDefault="00C77699" w:rsidP="0009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91">
              <w:rPr>
                <w:rFonts w:ascii="Times New Roman" w:hAnsi="Times New Roman" w:cs="Times New Roman"/>
                <w:sz w:val="28"/>
                <w:szCs w:val="28"/>
              </w:rPr>
              <w:t xml:space="preserve">Виконано – 100% </w:t>
            </w:r>
          </w:p>
          <w:p w:rsidR="00834B3E" w:rsidRPr="00657591" w:rsidRDefault="00834B3E" w:rsidP="0009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99" w:rsidRPr="00657591" w:rsidRDefault="00C77699" w:rsidP="0009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91">
              <w:rPr>
                <w:rFonts w:ascii="Times New Roman" w:hAnsi="Times New Roman" w:cs="Times New Roman"/>
                <w:sz w:val="28"/>
                <w:szCs w:val="28"/>
              </w:rPr>
              <w:t xml:space="preserve">Розпорядження голови Вінницької обласної державної адміністрації від </w:t>
            </w:r>
            <w:r w:rsidRPr="00657591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28 листопада 2019 року № 911 «Про забезпечення ефективного використання бюджетних коштів при здійсненні публічних закупівель»</w:t>
            </w:r>
            <w:r w:rsidR="00834B3E" w:rsidRPr="00657591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77699" w:rsidRPr="00657591" w:rsidRDefault="00C77699" w:rsidP="0009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Відповідно до статті 78 Бюджетного кодексу України, статей 2, 13 Закону України «Про місцеві державні адміністрації», статті 2 Закону України «Про публічні закупівлі», постанови Кабінету Міністрів України від 24 лютого 2016 року № 166 «Про затвердження Порядку 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функціонування електронної системи закупівель та проведення авторизації електронних майданчиків» та з метою забезпечення оптимізації  допорогових закупівель, ефективного використання бюджетних коштів, створення конкурентного середовища, відкритості та прозорості при здійсненні публічних закупівель, вартість яких є меншою за вартість, що встановлена в частині першій статті 2 Закону України «Про публічні закупівлі» встановлено</w:t>
            </w:r>
            <w:r w:rsid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що  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Керівникам структурних підрозділів облдержадміністрації та її апарату при здійсненні видатків за КПКВ 7721010 «Здійснення виконавчої влади у Вінницькій області» та видатків, що фінансуються з обласного бюджету, зокрема підвідомчими закладами, забезпечити проведення конкурентних 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закупівель товарів, робіт та послуг, вартість яких дорівнює або перевищує 30000 грн, з використанням інформаційно-телекомунікаційної системи «Prozorro» відповідно до основних вимог щодо проведення допорогових закупівель, товарів, робіт та послуг через електронну систему закупівель. </w:t>
            </w:r>
          </w:p>
          <w:p w:rsidR="00C77699" w:rsidRPr="00657591" w:rsidRDefault="00834B3E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Визначено, що</w:t>
            </w:r>
            <w:r w:rsidR="00C77699"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електронні закупівлі не проводяться: 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1) у випадках, визначених частиною третьою статті 2 Закону України «Про публічні закупівлі»; 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2) у випадках проведення допорогових закупівель з використанням електронних каталогів (державний онлайн-магазин Prozorro Market); 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3) при закупівлі квіткової, сувенірної продукції, передплаті періодичних видань, у випадку негайної потреби в ліквідації 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аварій, в межах чинного законодавства; 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4) при закупівлі творів мистецтва; 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5) при визначенні виконавця на конкурсних засадах головним розпорядником бюджетних коштів; 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6) при закупівлі послуг, пов’язаних з візитами та прийомами офіційних іноземних делегацій, проведенням представницьких заходів; 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7) у разі, якщо аналогічна закупівля не відбулась через відсутність учасників; 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8) в інших обґрунтованих випадках, виключно за погодженням з головним розпорядником коштів, структурним підрозділом облдержадміністрації – за погодженням з профільним заступником голови облдержадміністрації. 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Встанов</w:t>
            </w:r>
            <w:r w:rsidR="00834B3E"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лено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що зміна умов договору, зокрема ціни за 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одиницю товару укладеного за результатами торгів, проводиться лише за погодженням з головним розпорядником коштів, а ст</w:t>
            </w:r>
            <w:r w:rsidR="00834B3E"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руктурними підрозділами облдерж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адміністрації – за погодженням з профільним заступником голови облдержадміністрації. 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4. </w:t>
            </w:r>
            <w:r w:rsidR="00834B3E"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Встановлена р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екоменд</w:t>
            </w:r>
            <w:r w:rsidR="00834B3E"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ація 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Головному управлінню Державної казначейської служби України у Вінницькій області забезпечити контроль при реєстрації бюджетних зобов’язань розпорядників бюджетних коштів за КПКВ 7721010 «Здійснення виконавчої влади у Вінницькій області», а також розпорядників та одержувачів коштів обласного бюджету, щодо наявності у договорах закупівлі товарів, робіт, послуг посилань на код проведених електронних торгів.</w:t>
            </w:r>
          </w:p>
          <w:p w:rsidR="00C77699" w:rsidRPr="00657591" w:rsidRDefault="00C77699" w:rsidP="00C776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разі виявлення порушень інформува</w:t>
            </w:r>
            <w:r w:rsidR="00834B3E"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ння здійснюється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головного розпорядника </w:t>
            </w:r>
            <w:r w:rsidR="00834B3E"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бюджетних коштів та облдержадмі</w:t>
            </w:r>
            <w:r w:rsidRPr="0065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ністрацію. </w:t>
            </w:r>
          </w:p>
          <w:p w:rsidR="00834B3E" w:rsidRPr="00657591" w:rsidRDefault="00834B3E" w:rsidP="00834B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91">
              <w:rPr>
                <w:rFonts w:ascii="Times New Roman" w:hAnsi="Times New Roman" w:cs="Times New Roman"/>
                <w:sz w:val="28"/>
                <w:szCs w:val="28"/>
              </w:rPr>
              <w:t xml:space="preserve">За 2019 рік Вінницькою обласною державною адміністрацією, структурними підрозділами облдержадміністрації та бюджетними закладами, установами, організаціями, які утримуються за кошти обласного та районних бюджетів проведено через систему </w:t>
            </w:r>
            <w:r w:rsidRPr="00657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</w:t>
            </w:r>
            <w:r w:rsidRPr="00657591">
              <w:rPr>
                <w:rFonts w:ascii="Times New Roman" w:hAnsi="Times New Roman" w:cs="Times New Roman"/>
                <w:sz w:val="28"/>
                <w:szCs w:val="28"/>
              </w:rPr>
              <w:t xml:space="preserve"> понад 22 тис. процедур закупівель, з яких майже 19 тис. або 86,3% допорогові закупівлі, що на 5,6% більше ніж в попередньому році.</w:t>
            </w:r>
          </w:p>
          <w:p w:rsidR="00834B3E" w:rsidRPr="00657591" w:rsidRDefault="00834B3E" w:rsidP="00834B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91">
              <w:rPr>
                <w:rFonts w:ascii="Times New Roman" w:hAnsi="Times New Roman" w:cs="Times New Roman"/>
                <w:sz w:val="28"/>
                <w:szCs w:val="28"/>
              </w:rPr>
              <w:t>Економія коштів склала 334,65 млн. грн., з яких по допорогових закупівлях 46,8 млн. грн. або 14% від загальної економії.</w:t>
            </w:r>
          </w:p>
          <w:p w:rsidR="00834B3E" w:rsidRPr="00657591" w:rsidRDefault="00834B3E" w:rsidP="00834B3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91">
              <w:rPr>
                <w:rFonts w:ascii="Times New Roman" w:hAnsi="Times New Roman" w:cs="Times New Roman"/>
                <w:sz w:val="28"/>
                <w:szCs w:val="28"/>
              </w:rPr>
              <w:t xml:space="preserve">За результатами  моніторингу сайту  </w:t>
            </w:r>
            <w:r w:rsidRPr="00657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</w:t>
            </w:r>
            <w:r w:rsidRPr="00657591">
              <w:rPr>
                <w:rFonts w:ascii="Times New Roman" w:hAnsi="Times New Roman" w:cs="Times New Roman"/>
                <w:sz w:val="28"/>
                <w:szCs w:val="28"/>
              </w:rPr>
              <w:t xml:space="preserve">  Вінницька обласна державна адміністрація стабільно займає 3 місце серед обласних державних адміністрацій  України за </w:t>
            </w:r>
            <w:r w:rsidRPr="00657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кількістю проведених електронних закупівель.</w:t>
            </w:r>
          </w:p>
          <w:p w:rsidR="00834B3E" w:rsidRPr="00657591" w:rsidRDefault="00834B3E" w:rsidP="00C77699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</w:p>
          <w:p w:rsidR="0022213B" w:rsidRPr="00657591" w:rsidRDefault="0022213B" w:rsidP="0009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3B" w:rsidRPr="00CA2463" w:rsidTr="0022213B">
        <w:tc>
          <w:tcPr>
            <w:tcW w:w="498" w:type="dxa"/>
          </w:tcPr>
          <w:p w:rsidR="0022213B" w:rsidRPr="00CA2463" w:rsidRDefault="0022213B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5" w:type="dxa"/>
          </w:tcPr>
          <w:p w:rsidR="0022213B" w:rsidRPr="00CA2463" w:rsidRDefault="0022213B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Встановлення зовнішнього контролю шляхом розміщення інформації про державні закупівлі на офіційних веб-площадках проведення закупівель</w:t>
            </w:r>
          </w:p>
        </w:tc>
        <w:tc>
          <w:tcPr>
            <w:tcW w:w="2671" w:type="dxa"/>
          </w:tcPr>
          <w:p w:rsidR="0022213B" w:rsidRPr="00CA2463" w:rsidRDefault="0022213B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Протягом 201</w:t>
            </w:r>
            <w:r w:rsidR="00C40BA7"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8-2019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2971" w:type="dxa"/>
          </w:tcPr>
          <w:p w:rsidR="0022213B" w:rsidRPr="00CA2463" w:rsidRDefault="0022213B" w:rsidP="002221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</w:pPr>
            <w:r w:rsidRPr="00CA24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  <w:t>Структурні підрозділи обласної державної адміністрації</w:t>
            </w:r>
          </w:p>
        </w:tc>
        <w:tc>
          <w:tcPr>
            <w:tcW w:w="4163" w:type="dxa"/>
          </w:tcPr>
          <w:p w:rsidR="00834B3E" w:rsidRDefault="00834B3E" w:rsidP="0089761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Виконано – 100% </w:t>
            </w:r>
          </w:p>
          <w:p w:rsidR="0022213B" w:rsidRPr="00CA2463" w:rsidRDefault="0022213B" w:rsidP="0089761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CA2463">
              <w:rPr>
                <w:sz w:val="28"/>
                <w:szCs w:val="28"/>
              </w:rPr>
              <w:t>Забезпечено розміщення інформації про державні закуп</w:t>
            </w:r>
            <w:r w:rsidR="00755EDB" w:rsidRPr="00CA2463">
              <w:rPr>
                <w:sz w:val="28"/>
                <w:szCs w:val="28"/>
              </w:rPr>
              <w:t>івлі на офіційних веб-площадках. Забезпечено розміщення інформації в розділі «Актуальні закупівлі»</w:t>
            </w:r>
          </w:p>
        </w:tc>
      </w:tr>
      <w:tr w:rsidR="00755EDB" w:rsidRPr="00CA2463" w:rsidTr="0022213B">
        <w:tc>
          <w:tcPr>
            <w:tcW w:w="498" w:type="dxa"/>
          </w:tcPr>
          <w:p w:rsidR="00755EDB" w:rsidRPr="00CA2463" w:rsidRDefault="00755EDB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25" w:type="dxa"/>
          </w:tcPr>
          <w:p w:rsidR="00755EDB" w:rsidRPr="00CA2463" w:rsidRDefault="00755EDB" w:rsidP="00755E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Додатковий контроль за розробкою та створення тендерної документації шляхом проведених закупівель відповідною групою</w:t>
            </w:r>
          </w:p>
        </w:tc>
        <w:tc>
          <w:tcPr>
            <w:tcW w:w="2671" w:type="dxa"/>
          </w:tcPr>
          <w:p w:rsidR="00755EDB" w:rsidRPr="00CA2463" w:rsidRDefault="00C40BA7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Протягом 2018-2019 </w:t>
            </w:r>
            <w:r w:rsidR="00755EDB"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року</w:t>
            </w:r>
          </w:p>
        </w:tc>
        <w:tc>
          <w:tcPr>
            <w:tcW w:w="2971" w:type="dxa"/>
          </w:tcPr>
          <w:p w:rsidR="00755EDB" w:rsidRPr="00CA2463" w:rsidRDefault="00755EDB" w:rsidP="002221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Департамент міжнародного співробітництва та регіонального розвитку облдержадміністрації</w:t>
            </w:r>
          </w:p>
        </w:tc>
        <w:tc>
          <w:tcPr>
            <w:tcW w:w="4163" w:type="dxa"/>
          </w:tcPr>
          <w:p w:rsidR="00834B3E" w:rsidRDefault="00285893" w:rsidP="0089761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Виконано – 100% </w:t>
            </w:r>
          </w:p>
          <w:p w:rsidR="00755EDB" w:rsidRPr="00CA2463" w:rsidRDefault="00755EDB" w:rsidP="0089761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CA2463">
              <w:rPr>
                <w:sz w:val="28"/>
                <w:szCs w:val="28"/>
              </w:rPr>
              <w:t>Забезпечення моніторингу за проведенням публічних закупівель Сектором супроводу публічних закупівель Департаменту міжнародного співробітництва та регіонального розвитку облдержадміністрації</w:t>
            </w:r>
          </w:p>
        </w:tc>
      </w:tr>
      <w:tr w:rsidR="0022213B" w:rsidRPr="00CA2463" w:rsidTr="0022213B">
        <w:tc>
          <w:tcPr>
            <w:tcW w:w="498" w:type="dxa"/>
          </w:tcPr>
          <w:p w:rsidR="0022213B" w:rsidRPr="00CA2463" w:rsidRDefault="00755EDB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2213B" w:rsidRPr="00CA24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825" w:type="dxa"/>
          </w:tcPr>
          <w:p w:rsidR="0022213B" w:rsidRPr="00CA2463" w:rsidRDefault="0022213B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Забезпечення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пер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іодичного моніторингу стану подання декларацій</w:t>
            </w:r>
          </w:p>
        </w:tc>
        <w:tc>
          <w:tcPr>
            <w:tcW w:w="2671" w:type="dxa"/>
          </w:tcPr>
          <w:p w:rsidR="00C40BA7" w:rsidRPr="00CA2463" w:rsidRDefault="00C40BA7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квітень 2019 року;</w:t>
            </w:r>
          </w:p>
          <w:p w:rsidR="00C40BA7" w:rsidRPr="00CA2463" w:rsidRDefault="00C40BA7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протягом 2019 року</w:t>
            </w:r>
          </w:p>
        </w:tc>
        <w:tc>
          <w:tcPr>
            <w:tcW w:w="2971" w:type="dxa"/>
          </w:tcPr>
          <w:p w:rsidR="0022213B" w:rsidRPr="00CA2463" w:rsidRDefault="00C40BA7" w:rsidP="0022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22213B" w:rsidRPr="00CA2463">
              <w:rPr>
                <w:rFonts w:ascii="Times New Roman" w:hAnsi="Times New Roman" w:cs="Times New Roman"/>
                <w:sz w:val="28"/>
                <w:szCs w:val="28"/>
              </w:rPr>
              <w:t xml:space="preserve"> з питання запобігання корупції апарату обласної державної адміністрації</w:t>
            </w:r>
          </w:p>
        </w:tc>
        <w:tc>
          <w:tcPr>
            <w:tcW w:w="4163" w:type="dxa"/>
          </w:tcPr>
          <w:p w:rsidR="00C40BA7" w:rsidRPr="00CA2463" w:rsidRDefault="00285893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Виконано – 100% </w:t>
            </w:r>
            <w:r w:rsidR="00C40BA7" w:rsidRPr="00CA2463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частини першої статті 45 Закону України «Про запобігання корупції» (далі - Закон) з врахуванням положень частини п’ятої статті 45 Закону зобов’язані були до 1 квітня </w:t>
            </w:r>
            <w:r w:rsidR="00C40BA7" w:rsidRPr="00CA2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подати шляхом заповнення на офіційному веб-сайті Національного агентства з питань запобігання корупції декларацію </w:t>
            </w:r>
            <w:r w:rsidR="00C40BA7"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3202</w:t>
            </w:r>
            <w:r w:rsidR="00C40BA7" w:rsidRPr="00CA2463">
              <w:rPr>
                <w:rFonts w:ascii="Times New Roman" w:hAnsi="Times New Roman" w:cs="Times New Roman"/>
                <w:sz w:val="28"/>
                <w:szCs w:val="28"/>
              </w:rPr>
              <w:t xml:space="preserve"> посадових осіб Вінницької обласної державної адміністрації та районних державних адміністраціях. Зокрема, </w:t>
            </w:r>
          </w:p>
          <w:p w:rsidR="00C40BA7" w:rsidRPr="00CA2463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працівниками апарату облдержадміністрації – 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79 декларацій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0BA7" w:rsidRPr="00CA2463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працівниками структурних підрозділів облдержадміністрації – 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491 декларація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40BA7" w:rsidRPr="00CA2463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працівниками райдержадміністрацій – 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2632 декларацій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BA7" w:rsidRPr="00CA2463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 xml:space="preserve">Станом на 01 квітня до Єдиного державного реєстру декларацій осіб, уповноважених на виконання функцій держави або місцевого самоврядування подано 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3198 декларацій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 xml:space="preserve">, що складає 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99,88%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 xml:space="preserve"> від загальної кількості декларацій: </w:t>
            </w:r>
          </w:p>
          <w:p w:rsidR="00C40BA7" w:rsidRPr="00CA2463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працівниками апарату облдержадміністрації – 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34B3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декларацій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0BA7" w:rsidRPr="00CA2463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працівниками структурних підрозділів облдержадміністрації – 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491 декларація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0BA7" w:rsidRPr="00CA2463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працівниками райдержадміністрацій – 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  <w:r w:rsidR="00834B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декларацій.</w:t>
            </w:r>
          </w:p>
          <w:p w:rsidR="00C40BA7" w:rsidRPr="00CA2463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 xml:space="preserve">Облдержадміністрацією забезпечується перевірка своєчасності подання декларацій. </w:t>
            </w:r>
          </w:p>
          <w:p w:rsidR="00834B3E" w:rsidRPr="00834B3E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B3E">
              <w:rPr>
                <w:rFonts w:ascii="Times New Roman" w:hAnsi="Times New Roman" w:cs="Times New Roman"/>
                <w:sz w:val="28"/>
                <w:szCs w:val="28"/>
              </w:rPr>
              <w:t xml:space="preserve">Виявлено </w:t>
            </w:r>
            <w:r w:rsidR="00834B3E" w:rsidRPr="00834B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4B3E">
              <w:rPr>
                <w:rFonts w:ascii="Times New Roman" w:hAnsi="Times New Roman" w:cs="Times New Roman"/>
                <w:sz w:val="28"/>
                <w:szCs w:val="28"/>
              </w:rPr>
              <w:t xml:space="preserve"> фактів неподання декларацій та </w:t>
            </w:r>
            <w:r w:rsidR="00834B3E" w:rsidRPr="00834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4B3E">
              <w:rPr>
                <w:rFonts w:ascii="Times New Roman" w:hAnsi="Times New Roman" w:cs="Times New Roman"/>
                <w:sz w:val="28"/>
                <w:szCs w:val="28"/>
              </w:rPr>
              <w:t xml:space="preserve"> факт</w:t>
            </w:r>
            <w:r w:rsidR="00834B3E" w:rsidRPr="00834B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4B3E">
              <w:rPr>
                <w:rFonts w:ascii="Times New Roman" w:hAnsi="Times New Roman" w:cs="Times New Roman"/>
                <w:sz w:val="28"/>
                <w:szCs w:val="28"/>
              </w:rPr>
              <w:t xml:space="preserve"> несвоєчасного подання декларації. </w:t>
            </w:r>
          </w:p>
          <w:p w:rsidR="00C40BA7" w:rsidRPr="00CA2463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Відповідно до вимог статті 49 Закону здійснено повідомлення таких фактів Національного агентства з питань запобігання корупції.</w:t>
            </w:r>
          </w:p>
          <w:p w:rsidR="00657591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Серед працівників Вінницької облдержадміністрації був виявлений один факт неподання декларації за 2018 рік Солоненком І.В. </w:t>
            </w:r>
          </w:p>
          <w:p w:rsidR="00C40BA7" w:rsidRPr="00CA2463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даний </w:t>
            </w:r>
            <w:r w:rsidR="00657591">
              <w:rPr>
                <w:rFonts w:ascii="Times New Roman" w:hAnsi="Times New Roman" w:cs="Times New Roman"/>
                <w:sz w:val="28"/>
                <w:szCs w:val="28"/>
              </w:rPr>
              <w:t>факт повідомлено Національне агентство з питань запобігання корупції (повідомлення від 02 квітня 2020 року)</w:t>
            </w: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BA7" w:rsidRPr="00CA2463" w:rsidRDefault="00C40BA7" w:rsidP="00C40B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15 квітня 2019 року був підготовлений звіт про стан подання декларацій </w:t>
            </w:r>
            <w:r w:rsidRPr="00CA2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особами повноваженими на виконання функцій держави в обласній державній адміністрації та райдержадміністраціях.</w:t>
            </w:r>
          </w:p>
          <w:p w:rsidR="0022213B" w:rsidRPr="00CA2463" w:rsidRDefault="0022213B" w:rsidP="0022213B">
            <w:pPr>
              <w:ind w:firstLine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3B" w:rsidRPr="00CA2463" w:rsidTr="0022213B">
        <w:tc>
          <w:tcPr>
            <w:tcW w:w="498" w:type="dxa"/>
          </w:tcPr>
          <w:p w:rsidR="0022213B" w:rsidRPr="00CA2463" w:rsidRDefault="00755EDB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22213B"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5" w:type="dxa"/>
          </w:tcPr>
          <w:p w:rsidR="0022213B" w:rsidRPr="00CA2463" w:rsidRDefault="0022213B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 семінарських занять та забезпечення роз’яснювальної роботи</w:t>
            </w:r>
          </w:p>
        </w:tc>
        <w:tc>
          <w:tcPr>
            <w:tcW w:w="2671" w:type="dxa"/>
          </w:tcPr>
          <w:p w:rsidR="0022213B" w:rsidRPr="00CA2463" w:rsidRDefault="0022213B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Протягом 201</w:t>
            </w:r>
            <w:r w:rsidR="00C40BA7"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8-2019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2971" w:type="dxa"/>
          </w:tcPr>
          <w:p w:rsidR="0022213B" w:rsidRPr="00CA2463" w:rsidRDefault="0022213B" w:rsidP="002221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</w:pPr>
            <w:r w:rsidRPr="00CA24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  <w:t>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Вінницької області;</w:t>
            </w:r>
          </w:p>
          <w:p w:rsidR="0022213B" w:rsidRPr="00CA2463" w:rsidRDefault="00C40BA7" w:rsidP="0022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22213B" w:rsidRPr="00CA2463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запобігання корупції апарату обласної державної адміністрації</w:t>
            </w:r>
          </w:p>
        </w:tc>
        <w:tc>
          <w:tcPr>
            <w:tcW w:w="4163" w:type="dxa"/>
          </w:tcPr>
          <w:p w:rsidR="00285893" w:rsidRDefault="00285893" w:rsidP="00285893">
            <w:pPr>
              <w:pStyle w:val="ac"/>
              <w:spacing w:before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Виконано – 100% </w:t>
            </w:r>
          </w:p>
          <w:p w:rsidR="00285893" w:rsidRPr="00503025" w:rsidRDefault="00285893" w:rsidP="00285893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25">
              <w:rPr>
                <w:rStyle w:val="TimesNewRoman"/>
                <w:sz w:val="28"/>
                <w:szCs w:val="28"/>
              </w:rPr>
              <w:t xml:space="preserve">Розпорядженням голови облдержадміністрації </w:t>
            </w:r>
            <w:r w:rsidRPr="00503025">
              <w:rPr>
                <w:rFonts w:ascii="Times New Roman" w:hAnsi="Times New Roman" w:cs="Times New Roman"/>
                <w:sz w:val="28"/>
                <w:szCs w:val="28"/>
              </w:rPr>
              <w:t xml:space="preserve">від 21 листопада 2018 року №893 «Про затвердження Антикорупційної програми облдержадміністрації на 2018-2019 роки» також затверджено </w:t>
            </w:r>
            <w:r w:rsidRPr="00503025">
              <w:rPr>
                <w:rStyle w:val="TimesNewRoman"/>
                <w:sz w:val="28"/>
                <w:szCs w:val="28"/>
              </w:rPr>
              <w:t>План навчання з питань дотримання вимог законодавства у сфері запобігання корупції та правил етичної поведінки</w:t>
            </w:r>
            <w:r w:rsidRPr="00503025">
              <w:rPr>
                <w:rFonts w:ascii="Times New Roman" w:hAnsi="Times New Roman" w:cs="Times New Roman"/>
                <w:sz w:val="28"/>
                <w:szCs w:val="28"/>
              </w:rPr>
              <w:t xml:space="preserve">. Відповідний план навчання складається з 2 модулів: </w:t>
            </w:r>
          </w:p>
          <w:p w:rsidR="00285893" w:rsidRPr="00503025" w:rsidRDefault="00285893" w:rsidP="00285893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25">
              <w:rPr>
                <w:rFonts w:ascii="Times New Roman" w:hAnsi="Times New Roman" w:cs="Times New Roman"/>
                <w:sz w:val="28"/>
                <w:szCs w:val="28"/>
              </w:rPr>
              <w:t xml:space="preserve">1. Фінансовий контроль; </w:t>
            </w:r>
          </w:p>
          <w:p w:rsidR="00285893" w:rsidRPr="00503025" w:rsidRDefault="00285893" w:rsidP="00285893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Врегулювання конфлікту інтересів. Правила Етичної поведінки. </w:t>
            </w:r>
          </w:p>
          <w:p w:rsidR="00285893" w:rsidRPr="00503025" w:rsidRDefault="00285893" w:rsidP="00285893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25">
              <w:rPr>
                <w:rFonts w:ascii="Times New Roman" w:hAnsi="Times New Roman" w:cs="Times New Roman"/>
                <w:sz w:val="28"/>
                <w:szCs w:val="28"/>
              </w:rPr>
              <w:t>У 2019 році на базі структурних підрозділів та для працівників апарату облдержадміністрації проведено1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3025">
              <w:rPr>
                <w:rFonts w:ascii="Times New Roman" w:hAnsi="Times New Roman" w:cs="Times New Roman"/>
                <w:sz w:val="28"/>
                <w:szCs w:val="28"/>
              </w:rPr>
              <w:t xml:space="preserve"> тренінгів.</w:t>
            </w:r>
          </w:p>
          <w:p w:rsidR="00285893" w:rsidRDefault="00285893" w:rsidP="00285893">
            <w:pPr>
              <w:pStyle w:val="ac"/>
              <w:spacing w:before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893" w:rsidRPr="006D3140" w:rsidRDefault="00285893" w:rsidP="00285893">
            <w:pPr>
              <w:pStyle w:val="ac"/>
              <w:spacing w:before="0"/>
              <w:ind w:firstLine="539"/>
              <w:jc w:val="both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6D3140">
              <w:rPr>
                <w:rFonts w:ascii="Times New Roman" w:hAnsi="Times New Roman"/>
                <w:sz w:val="28"/>
                <w:szCs w:val="28"/>
              </w:rPr>
              <w:t>Відповідно до розпорядження голови обласної державної адміністрації  від 29 грудня 2018 року № 1001 «</w:t>
            </w:r>
            <w:r w:rsidRPr="006D314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Про підвищення кваліфікації працівників органів державної влади, місцевого самоврядування, державних підприємств,  установ і організацій та депутатів місцевих рад у 2019 навчальному році» </w:t>
            </w:r>
            <w:r w:rsidRPr="006D3140">
              <w:rPr>
                <w:rFonts w:ascii="Times New Roman" w:hAnsi="Times New Roman"/>
                <w:sz w:val="28"/>
                <w:szCs w:val="28"/>
              </w:rPr>
              <w:t>Центром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області</w:t>
            </w:r>
            <w:r w:rsidRPr="006D314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за участі сектору </w:t>
            </w:r>
            <w:r w:rsidRPr="006D3140">
              <w:rPr>
                <w:rStyle w:val="TimesNewRoman"/>
                <w:sz w:val="28"/>
                <w:szCs w:val="28"/>
              </w:rPr>
              <w:t xml:space="preserve">з питань запобігання корупції апарату </w:t>
            </w:r>
            <w:r w:rsidRPr="006D3140">
              <w:rPr>
                <w:rStyle w:val="TimesNewRoman"/>
                <w:sz w:val="28"/>
                <w:szCs w:val="28"/>
              </w:rPr>
              <w:lastRenderedPageBreak/>
              <w:t>облдержадміністрації</w:t>
            </w:r>
            <w:r w:rsidRPr="006D31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D314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проведено 41 навчальний захід з питань дотримання антикорупційного законодавства, якими охоплено 1297 осіб. У 2019 році проводився також </w:t>
            </w:r>
            <w:r w:rsidRPr="006D3140">
              <w:rPr>
                <w:rStyle w:val="a5"/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постійно діючий семінар для уповноважених осіб з питань запобігання корупції структурних підрозділів облдержадміністрації, райдержадміністрацій тощо, в якому прийняли участь 87 осіб. </w:t>
            </w:r>
          </w:p>
          <w:p w:rsidR="0022213B" w:rsidRPr="00CA2463" w:rsidRDefault="00285893" w:rsidP="00285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14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Протягом 2019 року сектором з питань запобігання корупції апарату облдержадміністрації було надано близько 800 усних роз’яснень з питань дотримання вимог Закону України «Про запобігання корупції».</w:t>
            </w:r>
          </w:p>
        </w:tc>
      </w:tr>
      <w:tr w:rsidR="0022213B" w:rsidRPr="00CA2463" w:rsidTr="0022213B">
        <w:tc>
          <w:tcPr>
            <w:tcW w:w="498" w:type="dxa"/>
          </w:tcPr>
          <w:p w:rsidR="0022213B" w:rsidRPr="00CA2463" w:rsidRDefault="00755EDB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22213B"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5" w:type="dxa"/>
          </w:tcPr>
          <w:p w:rsidR="0022213B" w:rsidRPr="00657591" w:rsidRDefault="0022213B" w:rsidP="0022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91">
              <w:rPr>
                <w:rFonts w:ascii="Times New Roman" w:hAnsi="Times New Roman" w:cs="Times New Roman"/>
                <w:sz w:val="28"/>
                <w:szCs w:val="28"/>
              </w:rPr>
              <w:t>Розробка положення про преміювання та надання матеріальної допомоги для вирішення соціально-побутових питань працівників</w:t>
            </w:r>
          </w:p>
        </w:tc>
        <w:tc>
          <w:tcPr>
            <w:tcW w:w="2671" w:type="dxa"/>
          </w:tcPr>
          <w:p w:rsidR="0022213B" w:rsidRPr="00CA2463" w:rsidRDefault="0022213B" w:rsidP="00285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Грудень 201</w:t>
            </w:r>
            <w:r w:rsidR="0028589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2971" w:type="dxa"/>
          </w:tcPr>
          <w:p w:rsidR="0022213B" w:rsidRPr="00CA2463" w:rsidRDefault="0022213B" w:rsidP="002221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</w:pPr>
          </w:p>
        </w:tc>
        <w:tc>
          <w:tcPr>
            <w:tcW w:w="4163" w:type="dxa"/>
          </w:tcPr>
          <w:p w:rsidR="00285893" w:rsidRPr="00C77699" w:rsidRDefault="00285893" w:rsidP="00285893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77699">
              <w:rPr>
                <w:sz w:val="28"/>
                <w:szCs w:val="28"/>
              </w:rPr>
              <w:t>Виконано – 100%</w:t>
            </w:r>
          </w:p>
          <w:p w:rsidR="0022213B" w:rsidRPr="00C77699" w:rsidRDefault="0022213B" w:rsidP="00285893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C77699">
              <w:rPr>
                <w:sz w:val="28"/>
                <w:szCs w:val="28"/>
              </w:rPr>
              <w:t xml:space="preserve">Розроблено </w:t>
            </w:r>
            <w:r w:rsidRPr="00C77699">
              <w:rPr>
                <w:bCs/>
                <w:sz w:val="28"/>
                <w:szCs w:val="28"/>
              </w:rPr>
              <w:t>Положення про  преміювання керівництва облдержадміністрації та працівників її апарату, яке затверджено розпорядженням голови о</w:t>
            </w:r>
            <w:r w:rsidR="00C40BA7" w:rsidRPr="00C77699">
              <w:rPr>
                <w:bCs/>
                <w:sz w:val="28"/>
                <w:szCs w:val="28"/>
              </w:rPr>
              <w:t>бласної державної адміністрації.</w:t>
            </w:r>
          </w:p>
          <w:p w:rsidR="00285893" w:rsidRPr="00C77699" w:rsidRDefault="00285893" w:rsidP="00285893">
            <w:pPr>
              <w:pBdr>
                <w:left w:val="single" w:sz="48" w:space="11" w:color="526FA0"/>
              </w:pBd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776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Розпорядження голови Вінницької обласної державної адміністрації </w:t>
            </w:r>
            <w:r w:rsidRPr="002858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870 від 8 листопада 2019 року</w:t>
            </w:r>
            <w:r w:rsidRPr="00C776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77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«</w:t>
            </w:r>
            <w:r w:rsidRPr="00C7769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Деякі питання встановлення стимулюючих виплат, премій та  виплати матеріальної допомоги для вирішення соціально-побутових питань керівним працівникам структурних підрозділів облдержадміністрації</w:t>
            </w:r>
            <w:r w:rsidRPr="00C77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»</w:t>
            </w:r>
          </w:p>
          <w:p w:rsidR="00C77699" w:rsidRPr="00285893" w:rsidRDefault="00C77699" w:rsidP="00285893">
            <w:pPr>
              <w:pBdr>
                <w:left w:val="single" w:sz="48" w:space="11" w:color="526FA0"/>
              </w:pBd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776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Розпорядження голови Вінницької обласної державної адміністрації </w:t>
            </w:r>
            <w:r w:rsidRPr="002858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198</w:t>
            </w:r>
            <w:r w:rsidRPr="002858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  <w:r w:rsidRPr="002858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березня</w:t>
            </w:r>
            <w:r w:rsidRPr="002858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2019 року</w:t>
            </w:r>
            <w:r w:rsidRPr="00C776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77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«</w:t>
            </w:r>
            <w:r w:rsidRPr="00C77699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Деякі питання оплати праці директора Державного підприємства «Служба місцевих автомобільних доріг у Вінницькій області»</w:t>
            </w:r>
          </w:p>
          <w:p w:rsidR="00285893" w:rsidRPr="00C77699" w:rsidRDefault="00285893" w:rsidP="0022213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2213B" w:rsidRPr="00C77699" w:rsidRDefault="0022213B" w:rsidP="0022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3B" w:rsidRPr="00CA2463" w:rsidTr="0022213B">
        <w:tc>
          <w:tcPr>
            <w:tcW w:w="498" w:type="dxa"/>
          </w:tcPr>
          <w:p w:rsidR="0022213B" w:rsidRPr="00CA2463" w:rsidRDefault="00755EDB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825" w:type="dxa"/>
          </w:tcPr>
          <w:p w:rsidR="0022213B" w:rsidRPr="00657591" w:rsidRDefault="0022213B" w:rsidP="0022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91">
              <w:rPr>
                <w:rFonts w:ascii="Times New Roman" w:hAnsi="Times New Roman" w:cs="Times New Roman"/>
                <w:sz w:val="28"/>
                <w:szCs w:val="28"/>
              </w:rPr>
              <w:t>Розроблення пам’ятки для членів комісії про відповідальність їх у разі виявлення конфлікту інтересів між членом</w:t>
            </w:r>
          </w:p>
        </w:tc>
        <w:tc>
          <w:tcPr>
            <w:tcW w:w="2671" w:type="dxa"/>
          </w:tcPr>
          <w:p w:rsidR="0022213B" w:rsidRPr="00CA2463" w:rsidRDefault="0022213B" w:rsidP="00921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Грудень 201</w:t>
            </w:r>
            <w:r w:rsidR="00921C8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2971" w:type="dxa"/>
          </w:tcPr>
          <w:p w:rsidR="0022213B" w:rsidRPr="00CA2463" w:rsidRDefault="00C40BA7" w:rsidP="002221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</w:pPr>
            <w:r w:rsidRPr="00CA24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  <w:t xml:space="preserve">Сектор з </w:t>
            </w:r>
            <w:r w:rsidR="0022213B" w:rsidRPr="00CA24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  <w:t xml:space="preserve"> питань запобігання корупції апарату обласної </w:t>
            </w:r>
            <w:r w:rsidR="0022213B" w:rsidRPr="00CA24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  <w:lastRenderedPageBreak/>
              <w:t xml:space="preserve">державної адміністрації </w:t>
            </w:r>
          </w:p>
        </w:tc>
        <w:tc>
          <w:tcPr>
            <w:tcW w:w="4163" w:type="dxa"/>
          </w:tcPr>
          <w:p w:rsidR="00285893" w:rsidRDefault="00285893" w:rsidP="0022213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Виконано – 100% </w:t>
            </w:r>
          </w:p>
          <w:p w:rsidR="0022213B" w:rsidRPr="00CA2463" w:rsidRDefault="0022213B" w:rsidP="0022213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A2463">
              <w:rPr>
                <w:sz w:val="28"/>
                <w:szCs w:val="28"/>
              </w:rPr>
              <w:t>Було забезпечено розроблення пам’ятки для членів комісії</w:t>
            </w:r>
          </w:p>
        </w:tc>
      </w:tr>
      <w:tr w:rsidR="0093640A" w:rsidRPr="00CA2463" w:rsidTr="0022213B">
        <w:tc>
          <w:tcPr>
            <w:tcW w:w="498" w:type="dxa"/>
          </w:tcPr>
          <w:p w:rsidR="0093640A" w:rsidRPr="00CA2463" w:rsidRDefault="0093640A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25" w:type="dxa"/>
          </w:tcPr>
          <w:p w:rsidR="0093640A" w:rsidRPr="00CA2463" w:rsidRDefault="00C40BA7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Невідповідність чинному законодавству положень про структурні підрозділи </w:t>
            </w:r>
            <w:r w:rsidR="0028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облдержадміністра</w:t>
            </w:r>
            <w:r w:rsidRPr="00CA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ції та її апарату</w:t>
            </w:r>
          </w:p>
        </w:tc>
        <w:tc>
          <w:tcPr>
            <w:tcW w:w="2671" w:type="dxa"/>
          </w:tcPr>
          <w:p w:rsidR="0093640A" w:rsidRPr="00CA2463" w:rsidRDefault="0093640A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Грудень 201</w:t>
            </w:r>
            <w:r w:rsidR="00C40BA7"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2971" w:type="dxa"/>
          </w:tcPr>
          <w:p w:rsidR="0093640A" w:rsidRPr="00CA2463" w:rsidRDefault="00C40BA7" w:rsidP="002221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</w:pPr>
            <w:r w:rsidRPr="00CA24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  <w:t>Керівники структурних підрозділів облдержадміністрації</w:t>
            </w:r>
          </w:p>
        </w:tc>
        <w:tc>
          <w:tcPr>
            <w:tcW w:w="4163" w:type="dxa"/>
          </w:tcPr>
          <w:p w:rsidR="00285893" w:rsidRDefault="00285893" w:rsidP="0022213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 – 100%.</w:t>
            </w:r>
          </w:p>
          <w:p w:rsidR="0093640A" w:rsidRPr="00CA2463" w:rsidRDefault="00C40BA7" w:rsidP="0022213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A2463">
              <w:rPr>
                <w:sz w:val="28"/>
                <w:szCs w:val="28"/>
              </w:rPr>
              <w:t>Забезпечено перегляд положень про структурні підрозділи облдержадміністрації</w:t>
            </w:r>
          </w:p>
        </w:tc>
      </w:tr>
      <w:tr w:rsidR="00C40BA7" w:rsidRPr="00CA2463" w:rsidTr="0022213B">
        <w:tc>
          <w:tcPr>
            <w:tcW w:w="498" w:type="dxa"/>
          </w:tcPr>
          <w:p w:rsidR="00C40BA7" w:rsidRPr="00CA2463" w:rsidRDefault="00C40BA7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25" w:type="dxa"/>
          </w:tcPr>
          <w:p w:rsidR="00C40BA7" w:rsidRPr="00CA2463" w:rsidRDefault="00C40BA7" w:rsidP="00C40BA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A246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Необізнаність державного службовця щодо повідомлення </w:t>
            </w:r>
            <w:r w:rsidRPr="00CA246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спільної роботи близьких осіб</w:t>
            </w:r>
          </w:p>
          <w:p w:rsidR="00C40BA7" w:rsidRPr="00CA2463" w:rsidRDefault="00C40BA7" w:rsidP="002221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C40BA7" w:rsidRPr="00CA2463" w:rsidRDefault="00C40BA7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Грудень 2019 року</w:t>
            </w:r>
          </w:p>
        </w:tc>
        <w:tc>
          <w:tcPr>
            <w:tcW w:w="2971" w:type="dxa"/>
          </w:tcPr>
          <w:p w:rsidR="00C40BA7" w:rsidRPr="00CA2463" w:rsidRDefault="00C40BA7" w:rsidP="00C40B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B"/>
              </w:rPr>
            </w:pP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Відділ з питань персоналу апарату облдержадміністрації, сектор з питань   запобігання корупції та структурні підрозділи облдержадміністрації</w:t>
            </w:r>
          </w:p>
        </w:tc>
        <w:tc>
          <w:tcPr>
            <w:tcW w:w="4163" w:type="dxa"/>
          </w:tcPr>
          <w:p w:rsidR="00285893" w:rsidRDefault="00285893" w:rsidP="00285893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4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Виконано – 100%</w:t>
            </w:r>
          </w:p>
          <w:p w:rsidR="00285893" w:rsidRDefault="00285893" w:rsidP="00285893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4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0BA7" w:rsidRPr="00CA2463" w:rsidRDefault="00285893" w:rsidP="00285893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листопаді 2019 року п</w:t>
            </w:r>
            <w:r w:rsidR="00C40BA7"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нарада, щодо внесення змін до Закону України «Про запобігання корупції»</w:t>
            </w:r>
            <w:r w:rsidR="00C40BA7"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40BA7" w:rsidRDefault="00285893" w:rsidP="00285893">
            <w:pPr>
              <w:pStyle w:val="a4"/>
              <w:shd w:val="clear" w:color="auto" w:fill="FFFFFF"/>
              <w:spacing w:before="0" w:beforeAutospacing="0" w:after="150" w:afterAutospacing="0"/>
              <w:ind w:firstLine="257"/>
              <w:rPr>
                <w:sz w:val="28"/>
                <w:szCs w:val="28"/>
              </w:rPr>
            </w:pPr>
            <w:r w:rsidRPr="00503025">
              <w:rPr>
                <w:sz w:val="28"/>
                <w:szCs w:val="28"/>
              </w:rPr>
              <w:t xml:space="preserve">Відповідно до статі 13-1 Закону України «Про запобігання корупції» сектором з питань запобігання корупції організований постійний моніторинг за дотриманням положень статті 26 Закону України «Про запобігання корупції» серед працівників апарату облдержадміністрації, структурних підрозділів облдержадміністрації та райдержадміністрацій. </w:t>
            </w:r>
            <w:r w:rsidRPr="00503025">
              <w:rPr>
                <w:rStyle w:val="TimesNewRoman"/>
                <w:sz w:val="28"/>
                <w:szCs w:val="28"/>
              </w:rPr>
              <w:t>Сектором з питань запобігання корупції апарату облдержадміністрації</w:t>
            </w:r>
            <w:r w:rsidRPr="00503025">
              <w:rPr>
                <w:sz w:val="28"/>
                <w:szCs w:val="28"/>
              </w:rPr>
              <w:t xml:space="preserve"> ведеться </w:t>
            </w:r>
            <w:r w:rsidRPr="00503025">
              <w:rPr>
                <w:sz w:val="28"/>
                <w:szCs w:val="28"/>
              </w:rPr>
              <w:lastRenderedPageBreak/>
              <w:t>«Електронний журнал роботи близьких осіб у облдержадміністрації та райдержадміністраціях».</w:t>
            </w:r>
          </w:p>
          <w:p w:rsidR="00285893" w:rsidRPr="00CA2463" w:rsidRDefault="00285893" w:rsidP="00285893">
            <w:pPr>
              <w:pStyle w:val="a4"/>
              <w:shd w:val="clear" w:color="auto" w:fill="FFFFFF"/>
              <w:spacing w:before="0" w:beforeAutospacing="0" w:after="150" w:afterAutospacing="0"/>
              <w:ind w:firstLine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Виявлені два факти прямого підпорядкування, які були врегульовані відповідно до положень статті 27 Закону України «Про запобігання корупції» та статті 32 Закону України «Про державну службу». Звільнені дві посадових особи.</w:t>
            </w:r>
          </w:p>
        </w:tc>
      </w:tr>
      <w:tr w:rsidR="00C40BA7" w:rsidRPr="00CA2463" w:rsidTr="0022213B">
        <w:tc>
          <w:tcPr>
            <w:tcW w:w="498" w:type="dxa"/>
          </w:tcPr>
          <w:p w:rsidR="00C40BA7" w:rsidRPr="00CA2463" w:rsidRDefault="00C40BA7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5" w:type="dxa"/>
          </w:tcPr>
          <w:p w:rsidR="00C40BA7" w:rsidRPr="00CA2463" w:rsidRDefault="00C40BA7" w:rsidP="00C40BA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A246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Особисте спілкування споживача адміністративних </w:t>
            </w:r>
            <w:r w:rsidRPr="00CA2463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послуг та прирівнених  до них послуг з посадовою особою, брак інформації</w:t>
            </w:r>
            <w:r w:rsidRPr="00CA246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 процедуру отримання адміністративної послуги</w:t>
            </w:r>
          </w:p>
        </w:tc>
        <w:tc>
          <w:tcPr>
            <w:tcW w:w="2671" w:type="dxa"/>
          </w:tcPr>
          <w:p w:rsidR="00C40BA7" w:rsidRPr="00CA2463" w:rsidRDefault="00C40BA7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Грудень 2018 року</w:t>
            </w:r>
          </w:p>
          <w:p w:rsidR="00C40BA7" w:rsidRPr="00CA2463" w:rsidRDefault="00CA2463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Грудень 2019 року</w:t>
            </w:r>
          </w:p>
        </w:tc>
        <w:tc>
          <w:tcPr>
            <w:tcW w:w="2971" w:type="dxa"/>
          </w:tcPr>
          <w:p w:rsidR="00CA2463" w:rsidRPr="00CA2463" w:rsidRDefault="00CA2463" w:rsidP="00CA246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Структурні підрозділи облдержадміністрації</w:t>
            </w:r>
          </w:p>
          <w:p w:rsidR="00CA2463" w:rsidRPr="00CA2463" w:rsidRDefault="00CA2463" w:rsidP="00CA246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0BA7" w:rsidRPr="00CA2463" w:rsidRDefault="009927EA" w:rsidP="00CA24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CA2463" w:rsidRPr="00CA2463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Департамент міжнародного співробітництва та регіонального розвитку облдержадміністрації</w:t>
              </w:r>
            </w:hyperlink>
          </w:p>
        </w:tc>
        <w:tc>
          <w:tcPr>
            <w:tcW w:w="4163" w:type="dxa"/>
          </w:tcPr>
          <w:p w:rsidR="00285893" w:rsidRDefault="00834B3E" w:rsidP="00834B3E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Виконано – 100% </w:t>
            </w:r>
          </w:p>
          <w:p w:rsidR="00834B3E" w:rsidRDefault="00834B3E" w:rsidP="00834B3E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B3E" w:rsidRDefault="00921C8B" w:rsidP="00834B3E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Структурними підрозділами обласної державної адміністрації було забезпечено прийом та передачу адміністративних послуг через ЦНАП. У відповідних порядках передбачено:</w:t>
            </w:r>
          </w:p>
          <w:p w:rsidR="00921C8B" w:rsidRDefault="00921C8B" w:rsidP="00834B3E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2463" w:rsidRPr="00CA2463" w:rsidRDefault="00CA2463" w:rsidP="00CA24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exact"/>
              <w:ind w:left="0" w:firstLine="4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Зазначення конкретних термінів виконання послуги;</w:t>
            </w:r>
          </w:p>
          <w:p w:rsidR="00CA2463" w:rsidRPr="00CA2463" w:rsidRDefault="00921C8B" w:rsidP="00CA24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exact"/>
              <w:ind w:left="0" w:firstLine="4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CA2463"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озширення можливості отримання заявником результатів послуги через ЦНАП;</w:t>
            </w:r>
          </w:p>
          <w:p w:rsidR="00CA2463" w:rsidRPr="00CA2463" w:rsidRDefault="00CA2463" w:rsidP="00CA24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exact"/>
              <w:ind w:left="0" w:firstLine="4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встановлення чіткого </w:t>
            </w: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переліку документів для отримання послуги;</w:t>
            </w:r>
          </w:p>
          <w:p w:rsidR="00CA2463" w:rsidRPr="00CA2463" w:rsidRDefault="00CA2463" w:rsidP="00CA24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exact"/>
              <w:ind w:left="0" w:firstLine="4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розроблен</w:t>
            </w:r>
            <w:r w:rsidR="00834B3E">
              <w:rPr>
                <w:rFonts w:ascii="Times New Roman" w:eastAsia="Calibri" w:hAnsi="Times New Roman" w:cs="Times New Roman"/>
                <w:sz w:val="28"/>
                <w:szCs w:val="28"/>
              </w:rPr>
              <w:t>ні</w:t>
            </w: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</w:t>
            </w:r>
            <w:r w:rsidR="00834B3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передачі результату адміні-</w:t>
            </w:r>
          </w:p>
          <w:p w:rsidR="00CA2463" w:rsidRPr="00CA2463" w:rsidRDefault="00CA2463" w:rsidP="00CA2463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стративної послуги, видачу дозволу від органу виконавчої влади до ЦНАПу;</w:t>
            </w:r>
          </w:p>
          <w:p w:rsidR="00C40BA7" w:rsidRPr="00CA2463" w:rsidRDefault="00921C8B" w:rsidP="00921C8B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Крім того, </w:t>
            </w:r>
            <w:r w:rsidR="00CA2463"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</w:t>
            </w:r>
            <w:r w:rsidR="00834B3E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CA2463"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наповнення сторінок довідковим матеріалом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та </w:t>
            </w:r>
            <w:r w:rsidR="00CA2463"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</w:t>
            </w:r>
            <w:r w:rsidR="00834B3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="00CA2463"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додатков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="00CA2463"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тя</w:t>
            </w:r>
            <w:r w:rsidR="00CA2463"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дотримання правил етичної поведінки</w:t>
            </w:r>
          </w:p>
        </w:tc>
      </w:tr>
      <w:tr w:rsidR="00CA2463" w:rsidRPr="00CA2463" w:rsidTr="0022213B">
        <w:tc>
          <w:tcPr>
            <w:tcW w:w="498" w:type="dxa"/>
          </w:tcPr>
          <w:p w:rsidR="00CA2463" w:rsidRPr="00CA2463" w:rsidRDefault="00CA2463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5" w:type="dxa"/>
          </w:tcPr>
          <w:p w:rsidR="00CA2463" w:rsidRPr="00CA2463" w:rsidRDefault="00CA2463" w:rsidP="00C40BA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A246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Недостатній контроль за правильним застосуванням законодавства щодо проведення спеціальної перевірки стосовно осіб, які претендують зайняття посад</w:t>
            </w:r>
          </w:p>
        </w:tc>
        <w:tc>
          <w:tcPr>
            <w:tcW w:w="2671" w:type="dxa"/>
          </w:tcPr>
          <w:p w:rsidR="00CA2463" w:rsidRPr="00CA2463" w:rsidRDefault="00CA2463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Грудень 2019 року</w:t>
            </w:r>
          </w:p>
        </w:tc>
        <w:tc>
          <w:tcPr>
            <w:tcW w:w="2971" w:type="dxa"/>
          </w:tcPr>
          <w:p w:rsidR="00CA2463" w:rsidRPr="00CA2463" w:rsidRDefault="00CA2463" w:rsidP="00CA2463">
            <w:pPr>
              <w:pStyle w:val="a7"/>
              <w:autoSpaceDE w:val="0"/>
              <w:autoSpaceDN w:val="0"/>
              <w:adjustRightInd w:val="0"/>
              <w:spacing w:line="300" w:lineRule="exact"/>
              <w:ind w:lef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Сектор з питань запобігання корупції апарату облдержадмі-ністрації</w:t>
            </w:r>
          </w:p>
        </w:tc>
        <w:tc>
          <w:tcPr>
            <w:tcW w:w="4163" w:type="dxa"/>
          </w:tcPr>
          <w:p w:rsidR="00285893" w:rsidRDefault="00285893" w:rsidP="0028589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Виконано – 100 %</w:t>
            </w:r>
          </w:p>
          <w:p w:rsidR="00285893" w:rsidRDefault="00285893" w:rsidP="0028589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893" w:rsidRDefault="00285893" w:rsidP="00285893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893">
              <w:rPr>
                <w:rFonts w:ascii="Times New Roman" w:hAnsi="Times New Roman" w:cs="Times New Roman"/>
                <w:sz w:val="28"/>
                <w:szCs w:val="28"/>
              </w:rPr>
              <w:t>Відповідно до статі 13-1 Закону України «Про запобігання корупції» сектором з питань запобігання корупції організований постійний моніторинг за дотриманням вимог статей 56-58 Закону щодо проведення та організації проведення спеціальної перевірки.</w:t>
            </w:r>
          </w:p>
          <w:p w:rsidR="00285893" w:rsidRDefault="00285893" w:rsidP="00285893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463" w:rsidRDefault="00CA2463" w:rsidP="00285893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893">
              <w:rPr>
                <w:rFonts w:ascii="Times New Roman" w:eastAsia="Calibri" w:hAnsi="Times New Roman" w:cs="Times New Roman"/>
                <w:sz w:val="28"/>
                <w:szCs w:val="28"/>
              </w:rPr>
              <w:t>Розроблено методичні рекомендації</w:t>
            </w:r>
            <w:r w:rsidR="00285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щодо організації проведення спеціальної перевірки.</w:t>
            </w:r>
          </w:p>
          <w:p w:rsidR="00285893" w:rsidRDefault="00285893" w:rsidP="00285893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893" w:rsidRPr="00285893" w:rsidRDefault="00285893" w:rsidP="00285893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листопаді 2019 року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проведена нарада щодо орган</w:t>
            </w:r>
            <w:r w:rsidR="00657591">
              <w:rPr>
                <w:rFonts w:ascii="Times New Roman" w:eastAsia="Calibri" w:hAnsi="Times New Roman" w:cs="Times New Roman"/>
                <w:sz w:val="28"/>
                <w:szCs w:val="28"/>
              </w:rPr>
              <w:t>іза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ції проведення спеціальної перевірки</w:t>
            </w:r>
          </w:p>
        </w:tc>
      </w:tr>
      <w:tr w:rsidR="00CA2463" w:rsidRPr="00CA2463" w:rsidTr="0022213B">
        <w:tc>
          <w:tcPr>
            <w:tcW w:w="498" w:type="dxa"/>
          </w:tcPr>
          <w:p w:rsidR="00CA2463" w:rsidRPr="00CA2463" w:rsidRDefault="00CA2463" w:rsidP="00222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5" w:type="dxa"/>
          </w:tcPr>
          <w:p w:rsidR="00CA2463" w:rsidRPr="00CA2463" w:rsidRDefault="00CA2463" w:rsidP="00C40BA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A246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Вплив з боку посадових осіб або інших осіб при наданні дозволів або проведення конкурсів</w:t>
            </w:r>
          </w:p>
        </w:tc>
        <w:tc>
          <w:tcPr>
            <w:tcW w:w="2671" w:type="dxa"/>
          </w:tcPr>
          <w:p w:rsidR="00285893" w:rsidRDefault="00285893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Протягом року</w:t>
            </w:r>
          </w:p>
          <w:p w:rsidR="00285893" w:rsidRDefault="00285893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463" w:rsidRPr="00CA2463" w:rsidRDefault="00CA2463" w:rsidP="00C40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63">
              <w:rPr>
                <w:rFonts w:ascii="Times New Roman" w:hAnsi="Times New Roman" w:cs="Times New Roman"/>
                <w:b/>
                <w:sz w:val="28"/>
                <w:szCs w:val="28"/>
              </w:rPr>
              <w:t>Грудень 2019 року</w:t>
            </w:r>
          </w:p>
        </w:tc>
        <w:tc>
          <w:tcPr>
            <w:tcW w:w="2971" w:type="dxa"/>
          </w:tcPr>
          <w:p w:rsidR="00CA2463" w:rsidRPr="00CA2463" w:rsidRDefault="00CA2463" w:rsidP="00CA2463">
            <w:pPr>
              <w:pStyle w:val="a7"/>
              <w:autoSpaceDE w:val="0"/>
              <w:autoSpaceDN w:val="0"/>
              <w:adjustRightInd w:val="0"/>
              <w:spacing w:line="300" w:lineRule="exact"/>
              <w:ind w:lef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Сектор з питань запобігання корупції апарату </w:t>
            </w:r>
            <w:r w:rsidR="00285893"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облдержадміністрації</w:t>
            </w:r>
          </w:p>
        </w:tc>
        <w:tc>
          <w:tcPr>
            <w:tcW w:w="4163" w:type="dxa"/>
          </w:tcPr>
          <w:p w:rsidR="00285893" w:rsidRDefault="00285893" w:rsidP="00CA2463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Виконано – 100% </w:t>
            </w:r>
          </w:p>
          <w:p w:rsidR="00285893" w:rsidRDefault="00285893" w:rsidP="00CA2463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2463" w:rsidRPr="00CA2463" w:rsidRDefault="00CA2463" w:rsidP="00657591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1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1) Чітке дотримання вимог Порядків надання дозволів та проведення конкурсів;</w:t>
            </w:r>
          </w:p>
          <w:p w:rsidR="00CA2463" w:rsidRPr="00CA2463" w:rsidRDefault="00CA2463" w:rsidP="00657591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1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2) попередження перед початком проведення конкурсів щодо дотримання вимог антикорупційного законодавства;</w:t>
            </w:r>
          </w:p>
          <w:p w:rsidR="00CA2463" w:rsidRDefault="00CA2463" w:rsidP="00657591">
            <w:pPr>
              <w:pStyle w:val="a7"/>
              <w:autoSpaceDE w:val="0"/>
              <w:autoSpaceDN w:val="0"/>
              <w:adjustRightInd w:val="0"/>
              <w:spacing w:line="300" w:lineRule="exact"/>
              <w:ind w:left="0" w:firstLine="1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463">
              <w:rPr>
                <w:rFonts w:ascii="Times New Roman" w:eastAsia="Calibri" w:hAnsi="Times New Roman" w:cs="Times New Roman"/>
                <w:sz w:val="28"/>
                <w:szCs w:val="28"/>
              </w:rPr>
              <w:t>3) проведення періодичних практичних занять зі спеціального законодавства на дотримання правил етичної поведінки</w:t>
            </w:r>
          </w:p>
          <w:p w:rsidR="009927EA" w:rsidRPr="00CA2463" w:rsidRDefault="009927EA" w:rsidP="00657591">
            <w:pPr>
              <w:pStyle w:val="a7"/>
              <w:autoSpaceDE w:val="0"/>
              <w:autoSpaceDN w:val="0"/>
              <w:adjustRightInd w:val="0"/>
              <w:spacing w:line="300" w:lineRule="exact"/>
              <w:ind w:left="0" w:firstLine="1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5323A" w:rsidRPr="00CA2463" w:rsidRDefault="0075323A" w:rsidP="007532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2463" w:rsidRPr="00CA2463" w:rsidRDefault="00CA2463" w:rsidP="00CA246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CA2463">
        <w:rPr>
          <w:rFonts w:ascii="Times New Roman" w:hAnsi="Times New Roman" w:cs="Times New Roman"/>
          <w:b/>
          <w:sz w:val="28"/>
          <w:szCs w:val="28"/>
        </w:rPr>
        <w:t>Завідувач сектору з питань запобігання</w:t>
      </w:r>
    </w:p>
    <w:p w:rsidR="00CA2463" w:rsidRPr="00CA2463" w:rsidRDefault="00CA2463" w:rsidP="00CA2463">
      <w:pPr>
        <w:tabs>
          <w:tab w:val="left" w:pos="2638"/>
        </w:tabs>
        <w:ind w:hanging="425"/>
        <w:rPr>
          <w:rFonts w:ascii="Times New Roman" w:eastAsia="Calibri" w:hAnsi="Times New Roman" w:cs="Times New Roman"/>
          <w:b/>
          <w:sz w:val="28"/>
          <w:szCs w:val="28"/>
        </w:rPr>
      </w:pPr>
      <w:r w:rsidRPr="00CA2463">
        <w:rPr>
          <w:rFonts w:ascii="Times New Roman" w:eastAsia="Calibri" w:hAnsi="Times New Roman" w:cs="Times New Roman"/>
          <w:b/>
          <w:sz w:val="28"/>
          <w:szCs w:val="28"/>
        </w:rPr>
        <w:t xml:space="preserve">      корупції апарату облдержадміністрації                                                                                                          А.СІЛЬНИЦЬКИЙ</w:t>
      </w:r>
    </w:p>
    <w:p w:rsidR="00CA2463" w:rsidRPr="00CA2463" w:rsidRDefault="00CA2463" w:rsidP="007532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A2463" w:rsidRPr="00CA2463" w:rsidSect="0075323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B82"/>
    <w:multiLevelType w:val="hybridMultilevel"/>
    <w:tmpl w:val="39C80306"/>
    <w:lvl w:ilvl="0" w:tplc="3C26DA1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5708"/>
    <w:multiLevelType w:val="hybridMultilevel"/>
    <w:tmpl w:val="3326CA0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C3151"/>
    <w:multiLevelType w:val="hybridMultilevel"/>
    <w:tmpl w:val="39C80306"/>
    <w:lvl w:ilvl="0" w:tplc="3C26DA1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536"/>
    <w:multiLevelType w:val="multilevel"/>
    <w:tmpl w:val="EC9C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A52"/>
    <w:multiLevelType w:val="multilevel"/>
    <w:tmpl w:val="E1B6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B6554"/>
    <w:multiLevelType w:val="hybridMultilevel"/>
    <w:tmpl w:val="FB68482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3A"/>
    <w:rsid w:val="00094E0D"/>
    <w:rsid w:val="000F154C"/>
    <w:rsid w:val="000F260C"/>
    <w:rsid w:val="001579E9"/>
    <w:rsid w:val="0022213B"/>
    <w:rsid w:val="00285893"/>
    <w:rsid w:val="004C69C4"/>
    <w:rsid w:val="00657591"/>
    <w:rsid w:val="00731D9A"/>
    <w:rsid w:val="00752230"/>
    <w:rsid w:val="0075323A"/>
    <w:rsid w:val="00755EDB"/>
    <w:rsid w:val="00762282"/>
    <w:rsid w:val="00834B3E"/>
    <w:rsid w:val="0089761F"/>
    <w:rsid w:val="00921C8B"/>
    <w:rsid w:val="0093640A"/>
    <w:rsid w:val="009927EA"/>
    <w:rsid w:val="00C40BA7"/>
    <w:rsid w:val="00C606C2"/>
    <w:rsid w:val="00C77699"/>
    <w:rsid w:val="00CA2463"/>
    <w:rsid w:val="00E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3D9C"/>
  <w15:chartTrackingRefBased/>
  <w15:docId w15:val="{BFA6348B-7758-4425-8312-CC1F8A80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"/>
    <w:basedOn w:val="a"/>
    <w:rsid w:val="00731D9A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73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731D9A"/>
  </w:style>
  <w:style w:type="character" w:styleId="a5">
    <w:name w:val="Strong"/>
    <w:uiPriority w:val="22"/>
    <w:qFormat/>
    <w:rsid w:val="00731D9A"/>
    <w:rPr>
      <w:b/>
      <w:bCs/>
    </w:rPr>
  </w:style>
  <w:style w:type="character" w:styleId="a6">
    <w:name w:val="Hyperlink"/>
    <w:uiPriority w:val="99"/>
    <w:semiHidden/>
    <w:unhideWhenUsed/>
    <w:rsid w:val="00CA246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A2463"/>
    <w:pPr>
      <w:ind w:left="720"/>
      <w:contextualSpacing/>
    </w:pPr>
  </w:style>
  <w:style w:type="paragraph" w:styleId="a8">
    <w:name w:val="Body Text Indent"/>
    <w:basedOn w:val="a"/>
    <w:link w:val="a9"/>
    <w:rsid w:val="00CA2463"/>
    <w:pPr>
      <w:spacing w:before="6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rsid w:val="00CA24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2463"/>
    <w:rPr>
      <w:rFonts w:ascii="Segoe UI" w:hAnsi="Segoe UI" w:cs="Segoe UI"/>
      <w:sz w:val="18"/>
      <w:szCs w:val="18"/>
    </w:rPr>
  </w:style>
  <w:style w:type="character" w:customStyle="1" w:styleId="TimesNewRoman">
    <w:name w:val="Основной текст + Times New Roman"/>
    <w:aliases w:val="7 pt"/>
    <w:basedOn w:val="a0"/>
    <w:rsid w:val="00285893"/>
    <w:rPr>
      <w:rFonts w:ascii="Times New Roman" w:hAnsi="Times New Roman" w:cs="Times New Roman" w:hint="default"/>
      <w:color w:val="000000"/>
      <w:spacing w:val="0"/>
      <w:position w:val="0"/>
      <w:shd w:val="clear" w:color="auto" w:fill="FFFFFF"/>
    </w:rPr>
  </w:style>
  <w:style w:type="paragraph" w:customStyle="1" w:styleId="ac">
    <w:name w:val="Нормальний текст"/>
    <w:basedOn w:val="a"/>
    <w:uiPriority w:val="99"/>
    <w:rsid w:val="00285893"/>
    <w:pPr>
      <w:spacing w:before="120" w:after="0" w:line="240" w:lineRule="auto"/>
      <w:ind w:firstLine="567"/>
    </w:pPr>
    <w:rPr>
      <w:rFonts w:ascii="Antiqua" w:hAnsi="Antiqua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89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n.gov.ua/administratyvni-posluhy/145-strukturni-pidrozdily-oda/departament-mizhnarodnoho-spivrobitnytstva-ta-rehionalnoho-rozvyt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FC872-D7F9-4944-80D9-6E0083BD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9097</Words>
  <Characters>5186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Сільницький Андрій Володимирович</dc:creator>
  <cp:keywords/>
  <dc:description/>
  <cp:lastModifiedBy>Сільницький Андрій Володимирович</cp:lastModifiedBy>
  <cp:revision>3</cp:revision>
  <cp:lastPrinted>2019-08-09T06:59:00Z</cp:lastPrinted>
  <dcterms:created xsi:type="dcterms:W3CDTF">2020-04-30T12:19:00Z</dcterms:created>
  <dcterms:modified xsi:type="dcterms:W3CDTF">2020-04-30T12:20:00Z</dcterms:modified>
</cp:coreProperties>
</file>